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0D6" w:rsidRPr="00696BF4" w:rsidRDefault="002060D6" w:rsidP="0039311A">
      <w:pPr>
        <w:spacing w:line="240" w:lineRule="atLeast"/>
        <w:jc w:val="center"/>
        <w:rPr>
          <w:rFonts w:cs="Times New Roman"/>
        </w:rPr>
      </w:pPr>
      <w:r w:rsidRPr="00696BF4">
        <w:rPr>
          <w:rFonts w:cs="Times New Roman"/>
        </w:rPr>
        <w:t>Mostra</w:t>
      </w:r>
    </w:p>
    <w:p w:rsidR="002060D6" w:rsidRPr="00696BF4" w:rsidRDefault="002060D6" w:rsidP="0039311A">
      <w:pPr>
        <w:spacing w:line="240" w:lineRule="atLeast"/>
        <w:jc w:val="center"/>
        <w:rPr>
          <w:rFonts w:cs="Times New Roman"/>
          <w:b/>
        </w:rPr>
      </w:pPr>
      <w:r w:rsidRPr="00696BF4">
        <w:rPr>
          <w:rFonts w:cs="Times New Roman"/>
          <w:b/>
        </w:rPr>
        <w:t>Voci di donne.</w:t>
      </w:r>
    </w:p>
    <w:p w:rsidR="002060D6" w:rsidRPr="00696BF4" w:rsidRDefault="002060D6" w:rsidP="0039311A">
      <w:pPr>
        <w:spacing w:line="240" w:lineRule="atLeast"/>
        <w:jc w:val="center"/>
        <w:rPr>
          <w:rFonts w:cs="Times New Roman"/>
          <w:b/>
        </w:rPr>
      </w:pPr>
      <w:r w:rsidRPr="00696BF4">
        <w:rPr>
          <w:rFonts w:cs="Times New Roman"/>
          <w:b/>
        </w:rPr>
        <w:t>L’universo femminile nelle raccolte laurenziane</w:t>
      </w:r>
    </w:p>
    <w:p w:rsidR="002060D6" w:rsidRPr="00696BF4" w:rsidRDefault="002060D6" w:rsidP="0039311A">
      <w:pPr>
        <w:spacing w:line="240" w:lineRule="atLeast"/>
        <w:rPr>
          <w:rFonts w:cs="Times New Roman"/>
          <w:b/>
        </w:rPr>
      </w:pPr>
    </w:p>
    <w:p w:rsidR="002060D6" w:rsidRPr="00696BF4" w:rsidRDefault="002060D6" w:rsidP="0039311A">
      <w:pPr>
        <w:spacing w:line="240" w:lineRule="atLeast"/>
        <w:rPr>
          <w:rFonts w:cs="Times New Roman"/>
        </w:rPr>
      </w:pPr>
      <w:r w:rsidRPr="00696BF4">
        <w:rPr>
          <w:rFonts w:cs="Times New Roman"/>
        </w:rPr>
        <w:t>La mostra</w:t>
      </w:r>
      <w:r w:rsidR="00C1057A" w:rsidRPr="00696BF4">
        <w:rPr>
          <w:rFonts w:cs="Times New Roman"/>
        </w:rPr>
        <w:t>,</w:t>
      </w:r>
      <w:r w:rsidRPr="00696BF4">
        <w:rPr>
          <w:rFonts w:cs="Times New Roman"/>
        </w:rPr>
        <w:t xml:space="preserve"> </w:t>
      </w:r>
      <w:r w:rsidR="00A23F12">
        <w:rPr>
          <w:rFonts w:cs="Times New Roman"/>
        </w:rPr>
        <w:t>ria</w:t>
      </w:r>
      <w:r w:rsidRPr="00696BF4">
        <w:rPr>
          <w:rFonts w:cs="Times New Roman"/>
        </w:rPr>
        <w:t>llestita nelle sale espositive della</w:t>
      </w:r>
      <w:r w:rsidR="00427B36">
        <w:rPr>
          <w:rFonts w:cs="Times New Roman"/>
        </w:rPr>
        <w:t xml:space="preserve"> Biblioteca Medicea Laurenziana</w:t>
      </w:r>
      <w:r w:rsidRPr="00696BF4">
        <w:rPr>
          <w:rFonts w:cs="Times New Roman"/>
        </w:rPr>
        <w:t xml:space="preserve"> dal </w:t>
      </w:r>
      <w:r w:rsidR="00A23F12">
        <w:rPr>
          <w:rFonts w:cs="Times New Roman"/>
        </w:rPr>
        <w:t>2 ottobre 2018 all’11 gennaio 2019</w:t>
      </w:r>
      <w:r w:rsidR="00C1057A" w:rsidRPr="00696BF4">
        <w:rPr>
          <w:rFonts w:cs="Times New Roman"/>
        </w:rPr>
        <w:t>,</w:t>
      </w:r>
      <w:r w:rsidRPr="00696BF4">
        <w:rPr>
          <w:rFonts w:cs="Times New Roman"/>
        </w:rPr>
        <w:t xml:space="preserve"> è stata progettata con l’intento di presentare al </w:t>
      </w:r>
      <w:r w:rsidRPr="00E07B27">
        <w:rPr>
          <w:rFonts w:cs="Times New Roman"/>
        </w:rPr>
        <w:t>pubblico</w:t>
      </w:r>
      <w:r w:rsidRPr="00E07B27">
        <w:rPr>
          <w:rFonts w:cs="Times New Roman"/>
          <w:b/>
        </w:rPr>
        <w:t xml:space="preserve"> un tema </w:t>
      </w:r>
      <w:r w:rsidRPr="00E07B27">
        <w:rPr>
          <w:rFonts w:cs="Times New Roman"/>
        </w:rPr>
        <w:t xml:space="preserve">fino ad ora mai esplorato nelle raccolte laurenziane, ma </w:t>
      </w:r>
      <w:r w:rsidRPr="00E07B27">
        <w:rPr>
          <w:rFonts w:cs="Times New Roman"/>
          <w:b/>
        </w:rPr>
        <w:t>di grande attualità:</w:t>
      </w:r>
      <w:r w:rsidRPr="00696BF4">
        <w:rPr>
          <w:rFonts w:cs="Times New Roman"/>
        </w:rPr>
        <w:t xml:space="preserve"> è stata infatti condotta una ricerca su tutti i fondi manoscritti della Biblioteca che ha permesso di individuare un cospicuo numero di </w:t>
      </w:r>
      <w:r w:rsidRPr="00525717">
        <w:rPr>
          <w:rFonts w:cs="Times New Roman"/>
          <w:b/>
        </w:rPr>
        <w:t>testi legati al</w:t>
      </w:r>
      <w:r w:rsidRPr="00696BF4">
        <w:rPr>
          <w:rFonts w:cs="Times New Roman"/>
        </w:rPr>
        <w:t xml:space="preserve"> </w:t>
      </w:r>
      <w:r w:rsidRPr="00E07B27">
        <w:rPr>
          <w:rFonts w:cs="Times New Roman"/>
          <w:b/>
        </w:rPr>
        <w:t>mondo femminile</w:t>
      </w:r>
      <w:r w:rsidRPr="00696BF4">
        <w:rPr>
          <w:rFonts w:cs="Times New Roman"/>
        </w:rPr>
        <w:t xml:space="preserve">, dove la donna appare sia come artefice di opere, ma anche come soggetto, a diversi livelli, dell’opera presentata. </w:t>
      </w:r>
    </w:p>
    <w:p w:rsidR="002060D6" w:rsidRPr="00E07B27" w:rsidRDefault="002060D6" w:rsidP="0039311A">
      <w:pPr>
        <w:spacing w:line="240" w:lineRule="atLeast"/>
        <w:rPr>
          <w:rFonts w:cs="Times New Roman"/>
          <w:b/>
        </w:rPr>
      </w:pPr>
      <w:r w:rsidRPr="00696BF4">
        <w:rPr>
          <w:rFonts w:cs="Times New Roman"/>
        </w:rPr>
        <w:t xml:space="preserve">L’esposizione è anche una novità, nell’ambito delle mostre organizzate dalla Biblioteca, che hanno sempre privilegiato le collezioni più antiche: aver esteso la ricerca anche ai fondi manoscritti setto-ottocenteschi, ha permesso di evidenziare </w:t>
      </w:r>
      <w:r w:rsidRPr="00E07B27">
        <w:rPr>
          <w:rFonts w:cs="Times New Roman"/>
          <w:b/>
        </w:rPr>
        <w:t xml:space="preserve">codici e un cospicuo numero di </w:t>
      </w:r>
      <w:r w:rsidRPr="00E07B27">
        <w:rPr>
          <w:rFonts w:cs="Times New Roman"/>
        </w:rPr>
        <w:t>l</w:t>
      </w:r>
      <w:r w:rsidRPr="00E07B27">
        <w:rPr>
          <w:rFonts w:cs="Times New Roman"/>
          <w:b/>
        </w:rPr>
        <w:t xml:space="preserve">ettere </w:t>
      </w:r>
      <w:r w:rsidRPr="00E07B27">
        <w:rPr>
          <w:rFonts w:cs="Times New Roman"/>
        </w:rPr>
        <w:t>poco o per niente studiati, e nella quasi totalità</w:t>
      </w:r>
      <w:r w:rsidRPr="00E07B27">
        <w:rPr>
          <w:rFonts w:cs="Times New Roman"/>
          <w:b/>
        </w:rPr>
        <w:t xml:space="preserve"> mai esposti prima.</w:t>
      </w:r>
    </w:p>
    <w:p w:rsidR="003A29A6" w:rsidRPr="00696BF4" w:rsidRDefault="002060D6" w:rsidP="0039311A">
      <w:pPr>
        <w:spacing w:line="240" w:lineRule="atLeast"/>
        <w:rPr>
          <w:color w:val="FF0000"/>
        </w:rPr>
      </w:pPr>
      <w:r w:rsidRPr="00696BF4">
        <w:rPr>
          <w:rFonts w:cs="Times New Roman"/>
        </w:rPr>
        <w:t>I 66 manoscritti</w:t>
      </w:r>
      <w:r w:rsidR="000C110A" w:rsidRPr="00696BF4">
        <w:rPr>
          <w:rFonts w:cs="Times New Roman"/>
        </w:rPr>
        <w:t xml:space="preserve"> presentati</w:t>
      </w:r>
      <w:r w:rsidRPr="00696BF4">
        <w:rPr>
          <w:rFonts w:cs="Times New Roman"/>
        </w:rPr>
        <w:t xml:space="preserve"> sono stati suddivisi in sei sezioni, ognuna ordinata, al proprio interno, secondo l’ordine cronologico delle biografie. </w:t>
      </w:r>
      <w:r w:rsidR="003A29A6" w:rsidRPr="00696BF4">
        <w:t>Il percorso espositivo di apre con una selezione di donne autrici</w:t>
      </w:r>
      <w:r w:rsidR="00C1057A" w:rsidRPr="00696BF4">
        <w:t xml:space="preserve"> di</w:t>
      </w:r>
      <w:r w:rsidR="003A29A6" w:rsidRPr="00696BF4">
        <w:t xml:space="preserve"> </w:t>
      </w:r>
      <w:r w:rsidR="003A29A6" w:rsidRPr="00696BF4">
        <w:rPr>
          <w:rFonts w:cs="Times New Roman"/>
        </w:rPr>
        <w:t>poesie, trattati, memorie, diari ed anche di lettere sia a carattere pubblico che privato</w:t>
      </w:r>
      <w:r w:rsidR="00C1057A" w:rsidRPr="00696BF4">
        <w:rPr>
          <w:rFonts w:cs="Times New Roman"/>
        </w:rPr>
        <w:t>. Seguono</w:t>
      </w:r>
      <w:r w:rsidR="003A29A6" w:rsidRPr="00696BF4">
        <w:rPr>
          <w:rFonts w:cs="Times New Roman"/>
        </w:rPr>
        <w:t xml:space="preserve"> opere dedicate, a vario titolo, a donne</w:t>
      </w:r>
      <w:r w:rsidR="00C1057A" w:rsidRPr="00696BF4">
        <w:rPr>
          <w:rFonts w:cs="Times New Roman"/>
        </w:rPr>
        <w:t xml:space="preserve">, </w:t>
      </w:r>
      <w:r w:rsidR="003A29A6" w:rsidRPr="00696BF4">
        <w:rPr>
          <w:rFonts w:cs="Times New Roman"/>
        </w:rPr>
        <w:t xml:space="preserve">alcuni manoscritti commissionati da donne e un nutrito numero di codici da loro copiati. L’ultima sezione, che presenta manoscritti posseduti da donne, si chiude con tre splendidi codici che furono acquistati </w:t>
      </w:r>
      <w:r w:rsidR="00C1057A" w:rsidRPr="00696BF4">
        <w:rPr>
          <w:rFonts w:cs="Times New Roman"/>
        </w:rPr>
        <w:t xml:space="preserve">da una donna </w:t>
      </w:r>
      <w:r w:rsidR="003A29A6" w:rsidRPr="00696BF4">
        <w:rPr>
          <w:rFonts w:cs="Times New Roman"/>
        </w:rPr>
        <w:t>proprio per essere donati alla Biblioteca</w:t>
      </w:r>
      <w:r w:rsidR="00C1057A" w:rsidRPr="00696BF4">
        <w:rPr>
          <w:rFonts w:cs="Times New Roman"/>
        </w:rPr>
        <w:t>.</w:t>
      </w:r>
    </w:p>
    <w:p w:rsidR="00C1057A" w:rsidRPr="00696BF4" w:rsidRDefault="00C1057A" w:rsidP="0039311A">
      <w:pPr>
        <w:spacing w:line="240" w:lineRule="atLeast"/>
        <w:rPr>
          <w:rFonts w:cs="Times New Roman"/>
        </w:rPr>
      </w:pPr>
      <w:r w:rsidRPr="00696BF4">
        <w:rPr>
          <w:rFonts w:cs="Times New Roman"/>
        </w:rPr>
        <w:t xml:space="preserve">Le figure femminili presentate coprono uno spazio temporale veramente ampio che va </w:t>
      </w:r>
      <w:r w:rsidRPr="00E07B27">
        <w:rPr>
          <w:rFonts w:cs="Times New Roman"/>
          <w:b/>
        </w:rPr>
        <w:t>dal VII-VI secolo a.C. ai primi decenni del XX secolo</w:t>
      </w:r>
      <w:r w:rsidRPr="00696BF4">
        <w:rPr>
          <w:rFonts w:cs="Times New Roman"/>
        </w:rPr>
        <w:t>: vi sono donne che hanno avuto ruoli di rilevanza pubblica e quindi ben note, sia italiane, che straniere, ma anche sconosciute monache che lavorarono come copiste nei conventi fiorentini.</w:t>
      </w:r>
    </w:p>
    <w:p w:rsidR="00C1057A" w:rsidRDefault="00C1057A" w:rsidP="0039311A">
      <w:pPr>
        <w:spacing w:after="0" w:line="240" w:lineRule="atLeast"/>
        <w:rPr>
          <w:rFonts w:cs="Times New Roman"/>
        </w:rPr>
      </w:pPr>
      <w:r w:rsidRPr="00696BF4">
        <w:rPr>
          <w:rFonts w:cs="Times New Roman"/>
        </w:rPr>
        <w:t xml:space="preserve">Alla fine del percorso espositivo, un </w:t>
      </w:r>
      <w:proofErr w:type="spellStart"/>
      <w:r w:rsidRPr="00E07B27">
        <w:rPr>
          <w:rFonts w:cs="Times New Roman"/>
          <w:b/>
        </w:rPr>
        <w:t>touch</w:t>
      </w:r>
      <w:proofErr w:type="spellEnd"/>
      <w:r w:rsidRPr="00E07B27">
        <w:rPr>
          <w:rFonts w:cs="Times New Roman"/>
          <w:b/>
        </w:rPr>
        <w:t xml:space="preserve"> screen</w:t>
      </w:r>
      <w:r w:rsidRPr="00696BF4">
        <w:rPr>
          <w:rFonts w:cs="Times New Roman"/>
        </w:rPr>
        <w:t xml:space="preserve"> permette di approfondire le biografie e visualizzare i ritratti, ove sia stato possibile reperirli, di alcune delle figure di cui sono esposte le opere.</w:t>
      </w:r>
    </w:p>
    <w:p w:rsidR="0039311A" w:rsidRDefault="0039311A" w:rsidP="0039311A">
      <w:pPr>
        <w:spacing w:after="0" w:line="240" w:lineRule="atLeast"/>
        <w:rPr>
          <w:rFonts w:cs="Times New Roman"/>
        </w:rPr>
      </w:pPr>
    </w:p>
    <w:p w:rsidR="0039311A" w:rsidRDefault="0039311A" w:rsidP="0039311A">
      <w:pPr>
        <w:spacing w:after="0" w:line="240" w:lineRule="atLeast"/>
        <w:rPr>
          <w:rFonts w:cs="Times New Roman"/>
          <w:b/>
          <w:highlight w:val="yellow"/>
        </w:rPr>
      </w:pPr>
      <w:r w:rsidRPr="0039311A">
        <w:rPr>
          <w:rFonts w:cs="Times New Roman"/>
          <w:b/>
        </w:rPr>
        <w:t xml:space="preserve">Il comunicato stampa e le immagini sono scaricabili da </w:t>
      </w:r>
      <w:r w:rsidR="003545FC" w:rsidRPr="00F20C3C">
        <w:rPr>
          <w:rFonts w:cs="Times New Roman"/>
          <w:b/>
        </w:rPr>
        <w:t>questo link</w:t>
      </w:r>
      <w:r w:rsidR="00F20C3C">
        <w:rPr>
          <w:rFonts w:cs="Times New Roman"/>
          <w:b/>
        </w:rPr>
        <w:t>:</w:t>
      </w:r>
      <w:bookmarkStart w:id="0" w:name="_GoBack"/>
      <w:bookmarkEnd w:id="0"/>
    </w:p>
    <w:p w:rsidR="003545FC" w:rsidRPr="003545FC" w:rsidRDefault="00F20C3C" w:rsidP="0039311A">
      <w:pPr>
        <w:spacing w:after="0" w:line="240" w:lineRule="atLeast"/>
        <w:rPr>
          <w:rFonts w:cs="Times New Roman"/>
        </w:rPr>
      </w:pPr>
      <w:hyperlink r:id="rId5" w:history="1">
        <w:r w:rsidR="003545FC" w:rsidRPr="003545FC">
          <w:rPr>
            <w:rStyle w:val="Collegamentoipertestuale"/>
            <w:rFonts w:cs="Times New Roman"/>
          </w:rPr>
          <w:t>https://www.bmlonline.it/mostre-e-iniziative/sala-stampa</w:t>
        </w:r>
      </w:hyperlink>
    </w:p>
    <w:p w:rsidR="0039311A" w:rsidRPr="00696BF4" w:rsidRDefault="0039311A" w:rsidP="0039311A">
      <w:pPr>
        <w:spacing w:after="0" w:line="240" w:lineRule="atLeast"/>
        <w:rPr>
          <w:rFonts w:cs="Times New Roman"/>
        </w:rPr>
      </w:pPr>
    </w:p>
    <w:p w:rsidR="00C1057A" w:rsidRPr="00696BF4" w:rsidRDefault="00C1057A" w:rsidP="0039311A">
      <w:pPr>
        <w:spacing w:after="0" w:line="240" w:lineRule="atLeast"/>
        <w:rPr>
          <w:rFonts w:cs="Times New Roman"/>
        </w:rPr>
      </w:pPr>
    </w:p>
    <w:p w:rsidR="00C1057A" w:rsidRPr="00696BF4" w:rsidRDefault="00C1057A" w:rsidP="0039311A">
      <w:pPr>
        <w:spacing w:line="240" w:lineRule="atLeast"/>
        <w:jc w:val="both"/>
        <w:rPr>
          <w:rFonts w:cs="Times New Roman"/>
          <w:b/>
        </w:rPr>
      </w:pPr>
      <w:r w:rsidRPr="00696BF4">
        <w:rPr>
          <w:rFonts w:cs="Times New Roman"/>
          <w:b/>
        </w:rPr>
        <w:t>Mostra in breve</w:t>
      </w:r>
    </w:p>
    <w:p w:rsidR="00C1057A" w:rsidRPr="00696BF4" w:rsidRDefault="00C1057A" w:rsidP="0039311A">
      <w:pPr>
        <w:spacing w:line="240" w:lineRule="atLeast"/>
        <w:rPr>
          <w:rFonts w:cs="Times New Roman"/>
        </w:rPr>
      </w:pPr>
      <w:r w:rsidRPr="00696BF4">
        <w:rPr>
          <w:rFonts w:cs="Times New Roman"/>
          <w:b/>
        </w:rPr>
        <w:t>Titolo</w:t>
      </w:r>
      <w:r w:rsidRPr="00696BF4">
        <w:rPr>
          <w:rFonts w:cs="Times New Roman"/>
        </w:rPr>
        <w:t>: Voci di donne.</w:t>
      </w:r>
      <w:r w:rsidR="00BD447A" w:rsidRPr="00696BF4">
        <w:rPr>
          <w:rFonts w:cs="Times New Roman"/>
        </w:rPr>
        <w:t xml:space="preserve"> </w:t>
      </w:r>
      <w:r w:rsidRPr="00696BF4">
        <w:rPr>
          <w:rFonts w:cs="Times New Roman"/>
        </w:rPr>
        <w:t>L’universo femminile nelle raccolte laurenziane</w:t>
      </w:r>
    </w:p>
    <w:p w:rsidR="00C1057A" w:rsidRPr="00696BF4" w:rsidRDefault="00C1057A" w:rsidP="0039311A">
      <w:pPr>
        <w:spacing w:line="240" w:lineRule="atLeast"/>
        <w:jc w:val="both"/>
        <w:rPr>
          <w:rFonts w:eastAsia="Times New Roman" w:cs="Times New Roman"/>
          <w:lang w:eastAsia="it-IT"/>
        </w:rPr>
      </w:pPr>
      <w:r w:rsidRPr="00696BF4">
        <w:rPr>
          <w:rFonts w:eastAsia="Times New Roman" w:cs="Times New Roman"/>
          <w:b/>
          <w:bCs/>
          <w:lang w:eastAsia="it-IT"/>
        </w:rPr>
        <w:t>Sede espositiva:</w:t>
      </w:r>
      <w:r w:rsidRPr="00696BF4">
        <w:rPr>
          <w:rFonts w:eastAsia="Times New Roman" w:cs="Times New Roman"/>
          <w:lang w:eastAsia="it-IT"/>
        </w:rPr>
        <w:t xml:space="preserve"> Biblioteca Medicea Laurenziana, Piazza San Lorenzo 9 - Firenze</w:t>
      </w:r>
    </w:p>
    <w:p w:rsidR="00C1057A" w:rsidRPr="00696BF4" w:rsidRDefault="00C1057A" w:rsidP="0039311A">
      <w:pPr>
        <w:spacing w:line="240" w:lineRule="atLeast"/>
        <w:rPr>
          <w:rFonts w:cs="Times New Roman"/>
        </w:rPr>
      </w:pPr>
      <w:r w:rsidRPr="00696BF4">
        <w:rPr>
          <w:rFonts w:eastAsia="Times New Roman" w:cs="Times New Roman"/>
          <w:b/>
          <w:bCs/>
          <w:lang w:eastAsia="it-IT"/>
        </w:rPr>
        <w:t>Durata:</w:t>
      </w:r>
      <w:r w:rsidRPr="00696BF4">
        <w:rPr>
          <w:rFonts w:eastAsia="Times New Roman" w:cs="Times New Roman"/>
          <w:lang w:eastAsia="it-IT"/>
        </w:rPr>
        <w:t xml:space="preserve"> </w:t>
      </w:r>
      <w:r w:rsidR="00A23F12">
        <w:rPr>
          <w:rFonts w:cs="Times New Roman"/>
        </w:rPr>
        <w:t>2 ottobre</w:t>
      </w:r>
      <w:r w:rsidRPr="00696BF4">
        <w:rPr>
          <w:rFonts w:cs="Times New Roman"/>
        </w:rPr>
        <w:t xml:space="preserve"> 2018</w:t>
      </w:r>
      <w:r w:rsidR="00A23F12">
        <w:rPr>
          <w:rFonts w:cs="Times New Roman"/>
        </w:rPr>
        <w:t>-11 gennaio 2019</w:t>
      </w:r>
    </w:p>
    <w:p w:rsidR="00C1057A" w:rsidRPr="00696BF4" w:rsidRDefault="00C1057A" w:rsidP="0039311A">
      <w:pPr>
        <w:spacing w:line="240" w:lineRule="atLeast"/>
        <w:jc w:val="both"/>
        <w:rPr>
          <w:rFonts w:eastAsia="Times New Roman" w:cs="Times New Roman"/>
          <w:lang w:eastAsia="it-IT"/>
        </w:rPr>
      </w:pPr>
      <w:r w:rsidRPr="00696BF4">
        <w:rPr>
          <w:rFonts w:eastAsia="Times New Roman" w:cs="Times New Roman"/>
          <w:b/>
          <w:bCs/>
          <w:lang w:eastAsia="it-IT"/>
        </w:rPr>
        <w:t>Orario mostra:</w:t>
      </w:r>
      <w:r w:rsidRPr="00696BF4">
        <w:rPr>
          <w:rFonts w:eastAsia="Times New Roman" w:cs="Times New Roman"/>
          <w:lang w:eastAsia="it-IT"/>
        </w:rPr>
        <w:t xml:space="preserve"> lunedì – venerdì ore 9,30 – 13,30 (chiuso sabato domenica e festivi)</w:t>
      </w:r>
    </w:p>
    <w:p w:rsidR="00C1057A" w:rsidRPr="00696BF4" w:rsidRDefault="00C1057A" w:rsidP="0039311A">
      <w:pPr>
        <w:spacing w:line="240" w:lineRule="atLeast"/>
      </w:pPr>
      <w:proofErr w:type="gramStart"/>
      <w:r w:rsidRPr="00696BF4">
        <w:rPr>
          <w:rFonts w:cs="Times New Roman"/>
          <w:b/>
        </w:rPr>
        <w:t>Biglietto</w:t>
      </w:r>
      <w:r w:rsidRPr="00696BF4">
        <w:rPr>
          <w:rFonts w:cs="Times New Roman"/>
        </w:rPr>
        <w:t xml:space="preserve">:  </w:t>
      </w:r>
      <w:r w:rsidRPr="00696BF4">
        <w:t>€</w:t>
      </w:r>
      <w:proofErr w:type="gramEnd"/>
      <w:r w:rsidRPr="00696BF4">
        <w:t xml:space="preserve"> 3.00</w:t>
      </w:r>
      <w:r w:rsidR="00525717">
        <w:t>.</w:t>
      </w:r>
      <w:r w:rsidRPr="00696BF4">
        <w:t xml:space="preserve"> </w:t>
      </w:r>
      <w:r w:rsidR="00525717">
        <w:t xml:space="preserve">€ </w:t>
      </w:r>
      <w:r w:rsidRPr="00696BF4">
        <w:t>2.50 se acquistato unitamente al biglietto per la basilica di San Lorenzo</w:t>
      </w:r>
    </w:p>
    <w:p w:rsidR="00C1057A" w:rsidRPr="00696BF4" w:rsidRDefault="00C1057A" w:rsidP="0039311A">
      <w:pPr>
        <w:spacing w:line="240" w:lineRule="atLeast"/>
        <w:jc w:val="both"/>
        <w:rPr>
          <w:rFonts w:eastAsia="Times New Roman" w:cs="Times New Roman"/>
          <w:color w:val="2F5496" w:themeColor="accent5" w:themeShade="BF"/>
          <w:lang w:eastAsia="it-IT"/>
        </w:rPr>
      </w:pPr>
      <w:r w:rsidRPr="00696BF4">
        <w:rPr>
          <w:rFonts w:eastAsia="Times New Roman" w:cs="Times New Roman"/>
          <w:b/>
          <w:bCs/>
          <w:lang w:eastAsia="it-IT"/>
        </w:rPr>
        <w:t>Informazioni:</w:t>
      </w:r>
      <w:r w:rsidRPr="00696BF4">
        <w:rPr>
          <w:rFonts w:eastAsia="Times New Roman" w:cs="Times New Roman"/>
          <w:lang w:eastAsia="it-IT"/>
        </w:rPr>
        <w:t xml:space="preserve"> tel. 055 2937911 – </w:t>
      </w:r>
      <w:hyperlink r:id="rId6" w:history="1">
        <w:r w:rsidRPr="00696BF4">
          <w:rPr>
            <w:rStyle w:val="Collegamentoipertestuale"/>
            <w:rFonts w:eastAsia="Times New Roman" w:cs="Times New Roman"/>
            <w:color w:val="034990" w:themeColor="hyperlink" w:themeShade="BF"/>
            <w:lang w:eastAsia="it-IT"/>
          </w:rPr>
          <w:t>b-mela.mostre@beniculturali.it</w:t>
        </w:r>
      </w:hyperlink>
      <w:r w:rsidRPr="00696BF4">
        <w:rPr>
          <w:rFonts w:eastAsia="Times New Roman" w:cs="Times New Roman"/>
          <w:color w:val="2F5496" w:themeColor="accent5" w:themeShade="BF"/>
          <w:lang w:eastAsia="it-IT"/>
        </w:rPr>
        <w:t xml:space="preserve"> </w:t>
      </w:r>
    </w:p>
    <w:p w:rsidR="00C1057A" w:rsidRPr="00696BF4" w:rsidRDefault="00C1057A" w:rsidP="0039311A">
      <w:pPr>
        <w:spacing w:line="240" w:lineRule="atLeast"/>
        <w:jc w:val="both"/>
        <w:rPr>
          <w:rFonts w:eastAsia="Times New Roman" w:cs="Times New Roman"/>
          <w:lang w:eastAsia="it-IT"/>
        </w:rPr>
      </w:pPr>
      <w:r w:rsidRPr="00696BF4">
        <w:rPr>
          <w:rFonts w:cs="Times New Roman"/>
          <w:b/>
        </w:rPr>
        <w:t xml:space="preserve">Visite </w:t>
      </w:r>
      <w:proofErr w:type="gramStart"/>
      <w:r w:rsidRPr="00696BF4">
        <w:rPr>
          <w:rFonts w:cs="Times New Roman"/>
          <w:b/>
        </w:rPr>
        <w:t xml:space="preserve">didattiche: </w:t>
      </w:r>
      <w:r w:rsidRPr="00696BF4">
        <w:rPr>
          <w:rFonts w:cs="Times New Roman"/>
        </w:rPr>
        <w:t xml:space="preserve"> </w:t>
      </w:r>
      <w:hyperlink r:id="rId7" w:history="1">
        <w:r w:rsidRPr="00696BF4">
          <w:rPr>
            <w:rStyle w:val="Collegamentoipertestuale"/>
            <w:rFonts w:cs="Times New Roman"/>
          </w:rPr>
          <w:t>didattica@operadarte.net</w:t>
        </w:r>
        <w:proofErr w:type="gramEnd"/>
      </w:hyperlink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b/>
          <w:bCs/>
          <w:lang w:eastAsia="it-IT"/>
        </w:rPr>
        <w:t>Catalogo:</w:t>
      </w:r>
      <w:r w:rsidRPr="00696BF4">
        <w:rPr>
          <w:rFonts w:eastAsia="Times New Roman" w:cs="Arial"/>
          <w:lang w:eastAsia="it-IT"/>
        </w:rPr>
        <w:t xml:space="preserve"> Mandragora</w:t>
      </w:r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b/>
          <w:bCs/>
          <w:lang w:eastAsia="it-IT"/>
        </w:rPr>
        <w:t>Progetto espositivo:</w:t>
      </w:r>
      <w:r w:rsidRPr="00696BF4">
        <w:rPr>
          <w:rFonts w:eastAsia="Times New Roman" w:cs="Arial"/>
          <w:lang w:eastAsia="it-IT"/>
        </w:rPr>
        <w:t xml:space="preserve"> Fabrizio Monaci e Roberta Paganucci </w:t>
      </w:r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b/>
          <w:bCs/>
          <w:lang w:eastAsia="it-IT"/>
        </w:rPr>
        <w:lastRenderedPageBreak/>
        <w:t xml:space="preserve">Presentazione multimediale </w:t>
      </w:r>
      <w:r w:rsidRPr="00696BF4">
        <w:rPr>
          <w:rFonts w:eastAsia="Times New Roman" w:cs="Arial"/>
          <w:bCs/>
          <w:lang w:eastAsia="it-IT"/>
        </w:rPr>
        <w:t>Biblioteca Medicea Laurenziana</w:t>
      </w:r>
      <w:r w:rsidRPr="00696BF4">
        <w:rPr>
          <w:rFonts w:eastAsia="Times New Roman" w:cs="Arial"/>
          <w:b/>
          <w:bCs/>
          <w:lang w:eastAsia="it-IT"/>
        </w:rPr>
        <w:t>:</w:t>
      </w:r>
      <w:r w:rsidRPr="00696BF4">
        <w:rPr>
          <w:rFonts w:eastAsia="Times New Roman" w:cs="Arial"/>
          <w:lang w:eastAsia="it-IT"/>
        </w:rPr>
        <w:t xml:space="preserve"> Eugenia Antonucci, Claudio Finocchi, IFNET </w:t>
      </w:r>
      <w:proofErr w:type="spellStart"/>
      <w:r w:rsidRPr="00696BF4">
        <w:rPr>
          <w:rFonts w:eastAsia="Times New Roman" w:cs="Arial"/>
          <w:lang w:eastAsia="it-IT"/>
        </w:rPr>
        <w:t>s.r.l</w:t>
      </w:r>
      <w:proofErr w:type="spellEnd"/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b/>
          <w:bCs/>
          <w:lang w:eastAsia="it-IT"/>
        </w:rPr>
        <w:t>Ufficio stampa:</w:t>
      </w:r>
    </w:p>
    <w:p w:rsidR="0039311A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lang w:eastAsia="it-IT"/>
        </w:rPr>
        <w:t xml:space="preserve">Biblioteca Medicea Laurenziana </w:t>
      </w:r>
      <w:r w:rsidRPr="00696BF4">
        <w:rPr>
          <w:rFonts w:eastAsia="Times New Roman" w:cs="Arial"/>
          <w:b/>
          <w:bCs/>
          <w:lang w:eastAsia="it-IT"/>
        </w:rPr>
        <w:t>tel. 055 2937911</w:t>
      </w:r>
      <w:r w:rsidR="0039311A">
        <w:rPr>
          <w:rFonts w:eastAsia="Times New Roman" w:cs="Arial"/>
          <w:lang w:eastAsia="it-IT"/>
        </w:rPr>
        <w:t xml:space="preserve"> </w:t>
      </w:r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lang w:eastAsia="it-IT"/>
        </w:rPr>
        <w:t xml:space="preserve">Anna Rita Fantoni </w:t>
      </w:r>
      <w:hyperlink r:id="rId8" w:history="1">
        <w:r w:rsidRPr="00696BF4">
          <w:rPr>
            <w:rFonts w:eastAsia="Times New Roman" w:cs="Arial"/>
            <w:color w:val="000099"/>
            <w:lang w:eastAsia="it-IT"/>
          </w:rPr>
          <w:t>b-mela.mostre@beniculturali.it</w:t>
        </w:r>
      </w:hyperlink>
      <w:r w:rsidRPr="00696BF4">
        <w:rPr>
          <w:rFonts w:eastAsia="Times New Roman" w:cs="Arial"/>
          <w:lang w:eastAsia="it-IT"/>
        </w:rPr>
        <w:t xml:space="preserve"> </w:t>
      </w:r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lang w:eastAsia="it-IT"/>
        </w:rPr>
        <w:t xml:space="preserve">Silvia Scipioni </w:t>
      </w:r>
      <w:hyperlink r:id="rId9" w:history="1">
        <w:r w:rsidRPr="00696BF4">
          <w:rPr>
            <w:rFonts w:eastAsia="Times New Roman" w:cs="Arial"/>
            <w:color w:val="000099"/>
            <w:lang w:eastAsia="it-IT"/>
          </w:rPr>
          <w:t>silvia.scipioni@beniculturali.it</w:t>
        </w:r>
      </w:hyperlink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b/>
          <w:bCs/>
          <w:lang w:eastAsia="it-IT"/>
        </w:rPr>
        <w:t xml:space="preserve">Risorse informatiche, pagina web, </w:t>
      </w:r>
      <w:proofErr w:type="spellStart"/>
      <w:r w:rsidRPr="00696BF4">
        <w:rPr>
          <w:rFonts w:eastAsia="Times New Roman" w:cs="Arial"/>
          <w:b/>
          <w:bCs/>
          <w:lang w:eastAsia="it-IT"/>
        </w:rPr>
        <w:t>facebook</w:t>
      </w:r>
      <w:proofErr w:type="spellEnd"/>
      <w:r w:rsidRPr="00696BF4">
        <w:rPr>
          <w:rFonts w:eastAsia="Times New Roman" w:cs="Arial"/>
          <w:b/>
          <w:bCs/>
          <w:lang w:eastAsia="it-IT"/>
        </w:rPr>
        <w:t xml:space="preserve"> </w:t>
      </w:r>
    </w:p>
    <w:p w:rsidR="00696BF4" w:rsidRPr="00696BF4" w:rsidRDefault="00696BF4" w:rsidP="0039311A">
      <w:pPr>
        <w:spacing w:line="240" w:lineRule="atLeast"/>
        <w:jc w:val="both"/>
        <w:rPr>
          <w:rFonts w:eastAsia="Times New Roman" w:cs="Arial"/>
          <w:lang w:eastAsia="it-IT"/>
        </w:rPr>
      </w:pPr>
      <w:r w:rsidRPr="00696BF4">
        <w:rPr>
          <w:rFonts w:eastAsia="Times New Roman" w:cs="Arial"/>
          <w:lang w:eastAsia="it-IT"/>
        </w:rPr>
        <w:t>Claudio Finocchi</w:t>
      </w:r>
      <w:hyperlink r:id="rId10" w:history="1">
        <w:r w:rsidRPr="00696BF4">
          <w:rPr>
            <w:rFonts w:eastAsia="Times New Roman" w:cs="Arial"/>
            <w:color w:val="000099"/>
            <w:lang w:eastAsia="it-IT"/>
          </w:rPr>
          <w:t xml:space="preserve"> b-mela.web@beniculturali.it </w:t>
        </w:r>
      </w:hyperlink>
    </w:p>
    <w:p w:rsidR="000842F9" w:rsidRPr="00696BF4" w:rsidRDefault="000842F9" w:rsidP="0039311A">
      <w:pPr>
        <w:spacing w:line="240" w:lineRule="atLeast"/>
        <w:rPr>
          <w:rFonts w:cs="Times New Roman"/>
        </w:rPr>
      </w:pPr>
    </w:p>
    <w:sectPr w:rsidR="000842F9" w:rsidRPr="00696B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3A6D50"/>
    <w:multiLevelType w:val="hybridMultilevel"/>
    <w:tmpl w:val="2C3EB5BC"/>
    <w:lvl w:ilvl="0" w:tplc="6BD8C0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85"/>
    <w:rsid w:val="000842F9"/>
    <w:rsid w:val="000C110A"/>
    <w:rsid w:val="002060D6"/>
    <w:rsid w:val="003545FC"/>
    <w:rsid w:val="0039311A"/>
    <w:rsid w:val="003A29A6"/>
    <w:rsid w:val="00427B36"/>
    <w:rsid w:val="005058CA"/>
    <w:rsid w:val="00525717"/>
    <w:rsid w:val="00580EB4"/>
    <w:rsid w:val="0069433B"/>
    <w:rsid w:val="00696BF4"/>
    <w:rsid w:val="00872D12"/>
    <w:rsid w:val="00881166"/>
    <w:rsid w:val="009223AF"/>
    <w:rsid w:val="00A23F12"/>
    <w:rsid w:val="00A7484F"/>
    <w:rsid w:val="00B0104B"/>
    <w:rsid w:val="00B24085"/>
    <w:rsid w:val="00BD447A"/>
    <w:rsid w:val="00C1057A"/>
    <w:rsid w:val="00E07B27"/>
    <w:rsid w:val="00F2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671C5-E074-4495-8D8E-521F6F7F0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C110A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character" w:styleId="Collegamentoipertestuale">
    <w:name w:val="Hyperlink"/>
    <w:basedOn w:val="Carpredefinitoparagrafo"/>
    <w:uiPriority w:val="99"/>
    <w:unhideWhenUsed/>
    <w:rsid w:val="00C105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-mela.mostre@benicultural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dattica@operadarte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-mela.mostre@beniculturali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bmlonline.it/mostre-e-iniziative/sala-stampa" TargetMode="External"/><Relationship Id="rId10" Type="http://schemas.openxmlformats.org/officeDocument/2006/relationships/hyperlink" Target="mailto:%20b-mela.web@beniculturali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ilvia.scipioni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Annarita Fantoni</dc:creator>
  <cp:keywords/>
  <dc:description/>
  <cp:lastModifiedBy>Claudio Finocchi</cp:lastModifiedBy>
  <cp:revision>11</cp:revision>
  <dcterms:created xsi:type="dcterms:W3CDTF">2018-02-20T09:27:00Z</dcterms:created>
  <dcterms:modified xsi:type="dcterms:W3CDTF">2018-09-24T10:38:00Z</dcterms:modified>
</cp:coreProperties>
</file>